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B00" w:rsidRPr="00836E28" w:rsidRDefault="00A50B00" w:rsidP="00A50B00">
      <w:pPr>
        <w:jc w:val="center"/>
        <w:rPr>
          <w:b/>
          <w:sz w:val="28"/>
          <w:szCs w:val="28"/>
        </w:rPr>
      </w:pPr>
      <w:r w:rsidRPr="00836E28">
        <w:rPr>
          <w:b/>
          <w:sz w:val="28"/>
          <w:szCs w:val="28"/>
        </w:rPr>
        <w:t>LMS Admin Testing Criteria</w:t>
      </w:r>
    </w:p>
    <w:p w:rsidR="00A50B00" w:rsidRPr="00836E28" w:rsidRDefault="00A50B00" w:rsidP="00A50B00">
      <w:pPr>
        <w:rPr>
          <w:rFonts w:eastAsia="Times New Roman" w:cstheme="minorHAnsi"/>
          <w:color w:val="000000"/>
        </w:rPr>
      </w:pPr>
      <w:r w:rsidRPr="00836E28">
        <w:rPr>
          <w:rFonts w:eastAsia="Times New Roman" w:cstheme="minorHAnsi"/>
          <w:color w:val="000000"/>
        </w:rPr>
        <w:t>Review of the three LMS's from an admin perspective takes a deeper dive into the behavior of the systems.  While it is critical courses work properly for instructors and students, there are behind-the-scenes considerations.  How were the course, instructor, and students created?  How do you ensure the instructor and students can access the right materials and perform the correct actions (and prevent improper access or actions)?  How do the instructor and students authenticate into the system and access the course(s)?  These are a few examples</w:t>
      </w:r>
      <w:proofErr w:type="gramStart"/>
      <w:r w:rsidRPr="00836E28">
        <w:rPr>
          <w:rFonts w:eastAsia="Times New Roman" w:cstheme="minorHAnsi"/>
          <w:color w:val="000000"/>
        </w:rPr>
        <w:t>;</w:t>
      </w:r>
      <w:proofErr w:type="gramEnd"/>
      <w:r w:rsidRPr="00836E28">
        <w:rPr>
          <w:rFonts w:eastAsia="Times New Roman" w:cstheme="minorHAnsi"/>
          <w:color w:val="000000"/>
        </w:rPr>
        <w:t xml:space="preserve"> review of the three LMS's from and administrator perspective primarily focused on the following notions:</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I. Create entities within the system, typically via an integration.</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A. Setting up the integration.</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B. Complexity of the integration.</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C. Conflict types between creating/updating entities through the GUI vs integration.</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II. Add LTI or other 3rd-party tool to the system.</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A. Control, either by department/course/user/etc., who can add the tool to a course.</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B. Ease of adding a tool link to a course.</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C. In particular, publisher integrations.</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III. Authentication.</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A. Establishing authentication providers.</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xml:space="preserve">  B. Behavior of multiple providers for </w:t>
      </w:r>
      <w:proofErr w:type="spellStart"/>
      <w:r w:rsidRPr="00836E28">
        <w:rPr>
          <w:rFonts w:eastAsia="Times New Roman" w:cstheme="minorHAnsi"/>
          <w:color w:val="000000"/>
          <w:sz w:val="24"/>
          <w:szCs w:val="24"/>
        </w:rPr>
        <w:t>auth</w:t>
      </w:r>
      <w:proofErr w:type="spellEnd"/>
      <w:r w:rsidRPr="00836E28">
        <w:rPr>
          <w:rFonts w:eastAsia="Times New Roman" w:cstheme="minorHAnsi"/>
          <w:color w:val="000000"/>
          <w:sz w:val="24"/>
          <w:szCs w:val="24"/>
        </w:rPr>
        <w:t xml:space="preserve"> attempt.</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C. Level of configuration when setting password policies.</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IV. Defining custom roles with associated privileges.</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A. Granularity of privileges.</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B. Logical contextual application of roles (i.e., system vs course).</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C. Rules when role types conflict (for example, system admin as a student in a course).</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xml:space="preserve">V. Import </w:t>
      </w:r>
      <w:proofErr w:type="gramStart"/>
      <w:r w:rsidRPr="00836E28">
        <w:rPr>
          <w:rFonts w:eastAsia="Times New Roman" w:cstheme="minorHAnsi"/>
          <w:color w:val="000000"/>
          <w:sz w:val="24"/>
          <w:szCs w:val="24"/>
        </w:rPr>
        <w:t>competencies,</w:t>
      </w:r>
      <w:proofErr w:type="gramEnd"/>
      <w:r w:rsidRPr="00836E28">
        <w:rPr>
          <w:rFonts w:eastAsia="Times New Roman" w:cstheme="minorHAnsi"/>
          <w:color w:val="000000"/>
          <w:sz w:val="24"/>
          <w:szCs w:val="24"/>
        </w:rPr>
        <w:t xml:space="preserve"> possibly sourced from some standards body.</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A. Control, either by department/course/user/etc., who can use the competencies.</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xml:space="preserve">  B. Ease of </w:t>
      </w:r>
      <w:proofErr w:type="gramStart"/>
      <w:r w:rsidRPr="00836E28">
        <w:rPr>
          <w:rFonts w:eastAsia="Times New Roman" w:cstheme="minorHAnsi"/>
          <w:color w:val="000000"/>
          <w:sz w:val="24"/>
          <w:szCs w:val="24"/>
        </w:rPr>
        <w:t>adding a (group of) competencies</w:t>
      </w:r>
      <w:proofErr w:type="gramEnd"/>
      <w:r w:rsidRPr="00836E28">
        <w:rPr>
          <w:rFonts w:eastAsia="Times New Roman" w:cstheme="minorHAnsi"/>
          <w:color w:val="000000"/>
          <w:sz w:val="24"/>
          <w:szCs w:val="24"/>
        </w:rPr>
        <w:t xml:space="preserve"> to gradable items.</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VI. Reporting and analytics.</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A. Reports for users, courses, tools, etc., via system and course.</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B. Include system logs.</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VII. Course archiving.</w:t>
      </w:r>
    </w:p>
    <w:p w:rsidR="00A50B00" w:rsidRPr="00836E28" w:rsidRDefault="00A50B00" w:rsidP="00A50B00">
      <w:pPr>
        <w:rPr>
          <w:rFonts w:eastAsia="Times New Roman" w:cstheme="minorHAnsi"/>
          <w:color w:val="000000"/>
          <w:sz w:val="24"/>
          <w:szCs w:val="24"/>
        </w:rPr>
      </w:pPr>
      <w:r w:rsidRPr="00836E28">
        <w:rPr>
          <w:rFonts w:eastAsia="Times New Roman" w:cstheme="minorHAnsi"/>
          <w:color w:val="000000"/>
          <w:sz w:val="24"/>
          <w:szCs w:val="24"/>
        </w:rPr>
        <w:t>  A. Process complexity for semester archiving.</w:t>
      </w:r>
    </w:p>
    <w:p w:rsidR="00DB242F" w:rsidRPr="00A50B00" w:rsidRDefault="00A50B00">
      <w:pPr>
        <w:rPr>
          <w:rFonts w:eastAsia="Times New Roman" w:cstheme="minorHAnsi"/>
          <w:color w:val="000000"/>
          <w:sz w:val="24"/>
          <w:szCs w:val="24"/>
        </w:rPr>
      </w:pPr>
      <w:r w:rsidRPr="00836E28">
        <w:rPr>
          <w:rFonts w:eastAsia="Times New Roman" w:cstheme="minorHAnsi"/>
          <w:color w:val="000000"/>
          <w:sz w:val="24"/>
          <w:szCs w:val="24"/>
        </w:rPr>
        <w:t>  B. Archiving a single course, either with or without student data.</w:t>
      </w:r>
      <w:bookmarkStart w:id="0" w:name="_GoBack"/>
      <w:bookmarkEnd w:id="0"/>
    </w:p>
    <w:sectPr w:rsidR="00DB242F" w:rsidRPr="00A50B00" w:rsidSect="007015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B00"/>
    <w:rsid w:val="00A50B00"/>
    <w:rsid w:val="00DB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234E"/>
  <w15:chartTrackingRefBased/>
  <w15:docId w15:val="{2A66E7E1-9908-4EB8-AC32-C0D74B69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DePina</dc:creator>
  <cp:keywords/>
  <dc:description/>
  <cp:lastModifiedBy>DePina, Valerie R.</cp:lastModifiedBy>
  <cp:revision>1</cp:revision>
  <dcterms:created xsi:type="dcterms:W3CDTF">2024-07-05T13:51:00Z</dcterms:created>
  <dcterms:modified xsi:type="dcterms:W3CDTF">2024-07-05T13:56:00Z</dcterms:modified>
</cp:coreProperties>
</file>